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施工图审查收费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标准</w:t>
      </w:r>
    </w:p>
    <w:p>
      <w:pPr>
        <w:spacing w:line="480" w:lineRule="exact"/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依据省物价局收费文件苏价服【2004】26号、苏价服【2009】54号、苏价服【2015】20号文件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规定，施工图审查标准按以下标准收费：</w:t>
      </w:r>
    </w:p>
    <w:p>
      <w:pPr>
        <w:spacing w:line="52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1、工业与民用建筑（含构筑物）工程</w:t>
      </w:r>
      <w:r>
        <w:rPr>
          <w:rFonts w:hint="eastAsia" w:ascii="仿宋" w:hAnsi="仿宋" w:eastAsia="仿宋" w:cs="仿宋"/>
          <w:sz w:val="24"/>
          <w:szCs w:val="24"/>
        </w:rPr>
        <w:t>（表一）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表一、工业与民用建筑工程收费标准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414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项目等级（按建筑工程设计规模分类标准划分）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收取标准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（元/m²）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勘察系数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中型项目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小型项目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after="62" w:afterLines="2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2、市政工程及专项工程（含建筑装饰、幕墙、轻型钢结构、建筑智能化专项工程）</w:t>
      </w:r>
      <w:r>
        <w:rPr>
          <w:rFonts w:hint="eastAsia" w:ascii="仿宋" w:hAnsi="仿宋" w:eastAsia="仿宋" w:cs="仿宋"/>
          <w:sz w:val="24"/>
          <w:szCs w:val="24"/>
        </w:rPr>
        <w:t>（表二）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表二、市政工程及专项工程收费标准</w:t>
      </w:r>
    </w:p>
    <w:tbl>
      <w:tblPr>
        <w:tblStyle w:val="2"/>
        <w:tblpPr w:leftFromText="180" w:rightFromText="180" w:vertAnchor="text" w:horzAnchor="margin" w:tblpXSpec="center" w:tblpY="1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76"/>
        <w:gridCol w:w="2444"/>
        <w:gridCol w:w="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工程预算￥（万元）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收取标准（‰）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勘察系数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￥＜1000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0.9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1000≤￥＜2000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2000≤￥＜4000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0.7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￥≥4000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1.12</w:t>
            </w:r>
          </w:p>
        </w:tc>
      </w:tr>
    </w:tbl>
    <w:p>
      <w:pPr>
        <w:spacing w:line="1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注：工程预算总额中包括配套设备及设施。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3、以上收费最低收费额不低于1500元，如低于，按1500元计收。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4、按以上收费标准收取的审查费，一次性报审总额不超过12万元的按实计收；超过12万元的，其超出以上部分按50%收取。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5、校安工程、安居工程、保障房等工程减半收取。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jE3Y2I1YmJjYTgyNTllMGVjOTQyM2Y1NDFlNzcifQ=="/>
  </w:docVars>
  <w:rsids>
    <w:rsidRoot w:val="0E6C3EAA"/>
    <w:rsid w:val="0E6C3EAA"/>
    <w:rsid w:val="25B85CB3"/>
    <w:rsid w:val="618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466</Characters>
  <Lines>0</Lines>
  <Paragraphs>0</Paragraphs>
  <TotalTime>2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2023-03-20T12:56:00Z</dcterms:created>
  <dc:creator>依窗看景</dc:creator>
  <cp:lastModifiedBy>依窗看景</cp:lastModifiedBy>
  <dcterms:modified xsi:type="dcterms:W3CDTF">2023-03-20T13:01:53Z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6F634AAD3AFF4931A7253BA33A8932F1</vt:lpwstr>
  </property>
</Properties>
</file>