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</w:rPr>
        <w:t>施工图审查收费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标准</w:t>
      </w:r>
    </w:p>
    <w:p>
      <w:pPr>
        <w:spacing w:line="480" w:lineRule="exact"/>
        <w:rPr>
          <w:rFonts w:hint="eastAsia" w:ascii="宋体" w:hAnsi="宋体" w:cs="宋体"/>
          <w:b/>
          <w:sz w:val="28"/>
          <w:szCs w:val="28"/>
          <w:lang w:eastAsia="zh-CN"/>
        </w:rPr>
      </w:pP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依据省物价局收费文件苏价服【2004】26号、苏价服【2009】54号、苏价服【2015】20号文件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规定，施工图审查标准按以下标准收费：</w:t>
      </w:r>
    </w:p>
    <w:p>
      <w:pPr>
        <w:spacing w:line="520" w:lineRule="exact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1、工业与民用建筑（含构筑物）工程</w:t>
      </w:r>
      <w:r>
        <w:rPr>
          <w:rFonts w:hint="eastAsia" w:ascii="仿宋" w:hAnsi="仿宋" w:eastAsia="仿宋" w:cs="仿宋"/>
          <w:sz w:val="24"/>
          <w:szCs w:val="24"/>
        </w:rPr>
        <w:t>（表一）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表一、工业与民用建筑工程收费标准</w:t>
      </w:r>
    </w:p>
    <w:tbl>
      <w:tblPr>
        <w:tblStyle w:val="2"/>
        <w:tblpPr w:leftFromText="180" w:rightFromText="180" w:vertAnchor="text" w:horzAnchor="margin" w:tblpXSpec="center" w:tblpY="3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41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项目等级（按建筑工程设计规模分类标准划分）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收取标准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（元/m²）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勘察系数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大型项目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中型项目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小型项目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after="62" w:afterLines="20"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1.12</w:t>
            </w:r>
          </w:p>
        </w:tc>
      </w:tr>
    </w:tbl>
    <w:p>
      <w:pPr>
        <w:spacing w:line="44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2、市政工程及专项工程（含建筑装饰、幕墙、轻型钢结构、建筑智能化专项工程）</w:t>
      </w:r>
      <w:r>
        <w:rPr>
          <w:rFonts w:hint="eastAsia" w:ascii="仿宋" w:hAnsi="仿宋" w:eastAsia="仿宋" w:cs="仿宋"/>
          <w:sz w:val="24"/>
          <w:szCs w:val="24"/>
        </w:rPr>
        <w:t>（表二）</w:t>
      </w:r>
    </w:p>
    <w:p>
      <w:pPr>
        <w:spacing w:line="52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表二、市政工程及专项工程收费标准</w:t>
      </w:r>
    </w:p>
    <w:tbl>
      <w:tblPr>
        <w:tblStyle w:val="2"/>
        <w:tblpPr w:leftFromText="180" w:rightFromText="180" w:vertAnchor="text" w:horzAnchor="margin" w:tblpXSpec="center" w:tblpY="15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76"/>
        <w:gridCol w:w="2444"/>
        <w:gridCol w:w="6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 号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工程预算￥（万元）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收取标准（‰）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勘察系数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￥＜1000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0.9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1000≤￥＜2000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0.8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2000≤￥＜4000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0.7</w:t>
            </w:r>
          </w:p>
        </w:tc>
        <w:tc>
          <w:tcPr>
            <w:tcW w:w="2220" w:type="dxa"/>
            <w:gridSpan w:val="2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￥≥4000</w:t>
            </w: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0.5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spacing w:after="62" w:afterLines="2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1.12</w:t>
            </w:r>
          </w:p>
        </w:tc>
      </w:tr>
    </w:tbl>
    <w:p>
      <w:pPr>
        <w:spacing w:line="1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</w:t>
      </w:r>
    </w:p>
    <w:p>
      <w:pPr>
        <w:spacing w:line="48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注：工程预算总额中包括配套设备及设施。</w:t>
      </w:r>
    </w:p>
    <w:p>
      <w:pPr>
        <w:spacing w:line="48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3、以上收费最低收费额不低于1500元，如低于，按1500元计收。</w:t>
      </w:r>
    </w:p>
    <w:p>
      <w:pPr>
        <w:spacing w:line="48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4、按以上收费标准收取的审查费，一次性报审总额不超过12万元的按实计收；超过12万元的，其超出以上部分按50%收取。</w:t>
      </w:r>
    </w:p>
    <w:p>
      <w:pPr>
        <w:spacing w:line="48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5、校安工程、安居工程、保障房等工程减半收取。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zNjE3Y2I1YmJjYTgyNTllMGVjOTQyM2Y1NDFlNzcifQ=="/>
  </w:docVars>
  <w:rsids>
    <w:rsidRoot w:val="0E6C3EAA"/>
    <w:rsid w:val="0E6C3EAA"/>
    <w:rsid w:val="25B85CB3"/>
    <w:rsid w:val="618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466</Characters>
  <Lines>0</Lines>
  <Paragraphs>0</Paragraphs>
  <TotalTime>2</TotalTime>
  <ScaleCrop>false</ScaleCrop>
  <LinksUpToDate>false</LinksUpToDate>
  <CharactersWithSpaces>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2023-03-20T12:56:00Z</dcterms:created>
  <dc:creator>依窗看景</dc:creator>
  <cp:lastModifiedBy>依窗看景</cp:lastModifiedBy>
  <dcterms:modified xsi:type="dcterms:W3CDTF">2023-03-20T13:01:53Z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6F634AAD3AFF4931A7253BA33A8932F1</vt:lpwstr>
  </property>
</Properties>
</file>